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ind w:firstLine="482" w:firstLineChars="100"/>
        <w:jc w:val="center"/>
        <w:rPr>
          <w:rFonts w:hint="eastAsia" w:ascii="FangSong_GB2312" w:hAnsi="FangSong_GB2312" w:eastAsia="FangSong_GB2312" w:cs="FangSong_GB2312"/>
          <w:b/>
          <w:bCs/>
          <w:sz w:val="48"/>
          <w:szCs w:val="48"/>
        </w:rPr>
      </w:pPr>
      <w:bookmarkStart w:id="0" w:name="_GoBack"/>
      <w:r>
        <w:rPr>
          <w:rFonts w:hint="eastAsia" w:ascii="FangSong_GB2312" w:hAnsi="FangSong_GB2312" w:eastAsia="FangSong_GB2312" w:cs="FangSong_GB2312"/>
          <w:b/>
          <w:bCs/>
          <w:sz w:val="48"/>
          <w:szCs w:val="48"/>
        </w:rPr>
        <w:t>数据中心平台</w:t>
      </w:r>
    </w:p>
    <w:bookmarkEnd w:id="0"/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采购目标</w:t>
      </w:r>
    </w:p>
    <w:p>
      <w:pPr>
        <w:ind w:firstLine="48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 xml:space="preserve"> 数据中台建设的总体目标是：以数据价值应用为导向，以多方数据共享为核心，以信息化为工具，建立长期、安全可控、可持续的数据共享体系，促进数据在“内增值，外增效”两方面的价值变现。</w:t>
      </w:r>
    </w:p>
    <w:p>
      <w:pPr>
        <w:ind w:firstLine="48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具体目标包括：</w:t>
      </w:r>
    </w:p>
    <w:p>
      <w:pPr>
        <w:pStyle w:val="12"/>
        <w:spacing w:line="360" w:lineRule="auto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1.坚持“一数一源，权责清晰”的原则，对我校全量数据进行确权，确定每个数据项的责任单位、责任人、更新时间，并纳入考核管理办法；</w:t>
      </w:r>
    </w:p>
    <w:p>
      <w:pPr>
        <w:pStyle w:val="12"/>
        <w:spacing w:line="360" w:lineRule="auto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2.坚持“安全可控，便捷高效”的原则，建立规范的数据生产、加工、存储、变更、使用的管理和服务体系，实现数据全过程安全管控；</w:t>
      </w:r>
    </w:p>
    <w:p>
      <w:pPr>
        <w:pStyle w:val="12"/>
        <w:spacing w:line="360" w:lineRule="auto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3.坚持“以用促建，以用促治”的原则，建立数据资产服务平台，提升数据利用的便捷度，提高数据资产的利用率；</w:t>
      </w:r>
    </w:p>
    <w:p>
      <w:pPr>
        <w:pStyle w:val="12"/>
        <w:spacing w:line="360" w:lineRule="auto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4.坚持“定期度量，持续改进”的原则，建立健全数据质量持续度量、问题改进的循环，提高我校数据质量；</w:t>
      </w:r>
    </w:p>
    <w:p>
      <w:pPr>
        <w:pStyle w:val="12"/>
        <w:spacing w:line="360" w:lineRule="auto"/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5.坚持“目标分解，分步实现”的原则，提高数据的完备度、准确度等，实现高质量数据资产沉淀。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采购要求</w:t>
      </w:r>
    </w:p>
    <w:p>
      <w:pPr>
        <w:pStyle w:val="2"/>
        <w:ind w:left="0" w:leftChars="0" w:firstLine="0" w:firstLineChars="0"/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1.数据交换系统：</w:t>
      </w:r>
    </w:p>
    <w:p>
      <w:pPr>
        <w:pStyle w:val="2"/>
        <w:ind w:left="0" w:leftChars="0" w:firstLine="56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通过数据交换平台，进行数据过滤、清洗和双向传递，实现各业务系统与公共数据平台相互之间的数据交换和共享。</w:t>
      </w:r>
    </w:p>
    <w:p>
      <w:pP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2.信息标准制定与管理：</w:t>
      </w:r>
    </w:p>
    <w:p>
      <w:pPr>
        <w:ind w:firstLine="560" w:firstLineChars="200"/>
      </w:pPr>
      <w:r>
        <w:rPr>
          <w:rFonts w:hint="eastAsia" w:ascii="FangSong_GB2312" w:hAnsi="FangSong_GB2312" w:eastAsia="FangSong_GB2312" w:cs="FangSong_GB2312"/>
          <w:sz w:val="28"/>
          <w:szCs w:val="28"/>
        </w:rPr>
        <w:t>(1)制定：通过对学校核心业务部门进行实施调研，统筹学校业务系统信息标准情况，制定出符合学校实际情况的可落地的信息标准，包括代码标准、模型标准和相关信息标准管理办法</w:t>
      </w:r>
      <w:r>
        <w:rPr>
          <w:rFonts w:hint="eastAsia"/>
        </w:rPr>
        <w:t>。</w:t>
      </w:r>
    </w:p>
    <w:p>
      <w:pPr>
        <w:ind w:firstLine="560" w:firstLineChars="200"/>
        <w:rPr>
          <w:rFonts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(2)管理：信息标准管理规范，展示信息标准以及所有规范类文档，可以对标准、文档进行收藏、下载，可以通过文档名称进行模糊查询；需要支持已收藏文档的查看。</w:t>
      </w:r>
    </w:p>
    <w:p>
      <w:pPr>
        <w:pStyle w:val="2"/>
        <w:ind w:left="0" w:leftChars="0" w:firstLine="0" w:firstLineChars="0"/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3.主数据管理：</w:t>
      </w:r>
    </w:p>
    <w:p>
      <w:pPr>
        <w:pStyle w:val="2"/>
        <w:ind w:left="0" w:leftChars="0" w:firstLine="560"/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主数据管理是对数据资产管理平台的主数据内容进行管理，包括数据内容管理、表单配置管理、数据流向管理、历史数据管理。</w:t>
      </w:r>
    </w:p>
    <w:p>
      <w:pP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</w:pPr>
      <w:r>
        <w:rPr>
          <w:rFonts w:hint="eastAsia" w:ascii="FangSong_GB2312" w:hAnsi="FangSong_GB2312" w:eastAsia="FangSong_GB2312" w:cs="FangSong_GB2312"/>
          <w:b/>
          <w:bCs/>
          <w:sz w:val="30"/>
          <w:szCs w:val="30"/>
        </w:rPr>
        <w:t>4.标准接口：</w:t>
      </w:r>
    </w:p>
    <w:p>
      <w:pPr>
        <w:ind w:firstLine="560" w:firstLineChars="200"/>
        <w:rPr>
          <w:rFonts w:hint="eastAsia" w:ascii="FangSong_GB2312" w:hAnsi="FangSong_GB2312" w:eastAsia="FangSong_GB2312" w:cs="FangSong_GB2312"/>
          <w:sz w:val="28"/>
          <w:szCs w:val="28"/>
        </w:rPr>
      </w:pPr>
      <w:r>
        <w:rPr>
          <w:rFonts w:hint="eastAsia" w:ascii="FangSong_GB2312" w:hAnsi="FangSong_GB2312" w:eastAsia="FangSong_GB2312" w:cs="FangSong_GB2312"/>
          <w:sz w:val="28"/>
          <w:szCs w:val="28"/>
        </w:rPr>
        <w:t>统一数据中心平台启动后，要免费提供标准接口程序，配合现有或未来建设系统接入。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813C7"/>
    <w:multiLevelType w:val="singleLevel"/>
    <w:tmpl w:val="379813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67E"/>
    <w:rsid w:val="00125581"/>
    <w:rsid w:val="001B367E"/>
    <w:rsid w:val="0032039A"/>
    <w:rsid w:val="006D4AC8"/>
    <w:rsid w:val="5758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1"/>
    <w:unhideWhenUsed/>
    <w:qFormat/>
    <w:uiPriority w:val="99"/>
    <w:pPr>
      <w:spacing w:line="360" w:lineRule="auto"/>
      <w:ind w:firstLine="420" w:firstLineChars="200"/>
    </w:pPr>
    <w:rPr>
      <w:rFonts w:ascii="Times New Roman" w:hAnsi="Times New Roman"/>
      <w:sz w:val="24"/>
    </w:rPr>
  </w:style>
  <w:style w:type="paragraph" w:styleId="3">
    <w:name w:val="Body Text Indent"/>
    <w:basedOn w:val="1"/>
    <w:link w:val="10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6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正文文本缩进 字符"/>
    <w:basedOn w:val="6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1">
    <w:name w:val="正文首行缩进 2 字符"/>
    <w:basedOn w:val="10"/>
    <w:link w:val="2"/>
    <w:qFormat/>
    <w:uiPriority w:val="99"/>
    <w:rPr>
      <w:rFonts w:ascii="Times New Roman" w:hAnsi="Times New Roman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628</Characters>
  <Lines>5</Lines>
  <Paragraphs>1</Paragraphs>
  <TotalTime>0</TotalTime>
  <ScaleCrop>false</ScaleCrop>
  <LinksUpToDate>false</LinksUpToDate>
  <CharactersWithSpaces>737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2021-04-02T02:07:00Z</dcterms:created>
  <dc:creator>悟禅</dc:creator>
  <cp:lastModifiedBy>孙龙龙</cp:lastModifiedBy>
  <dcterms:modified xsi:type="dcterms:W3CDTF">2021-04-22T08:21:41Z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