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一、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ab/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学校公寓电表数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 xml:space="preserve">    新公寓810块，老公寓4472块（河东校区9栋公寓，每栋180间，共计1620。河西校区嘉苑、懿苑、馨苑共计2852，合计4472块）涉及新公寓电表新建，老公寓电表改造。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二、智能电表项目相关技术需求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1.统一平台管理：水表、电表采用统一平台管理，便于后期水电统一接入管理，降低管理难度。系统应采用B/S架构方便管理者使用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2.智能电表安装采用有线连接模式。组网模式：核心交换机连接每栋楼接入交换机，再接宿舍电表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，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实现自动抄表。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3.智能电表采用单相智能电表，符合国家标准，电表精度≤1.0。单电表控制每间公寓两路用电。支持多种线上充值模式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4.智能电表项目光纤线路使用学校现有主干线路及汇聚点。汇聚点接入到各公寓光纤线路由供应商进行铺设。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5.断网情况下，智能电表能够正常使用并存储用电数量。网络恢复后，自动同步数据，实现费用扣减。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6.用户可随时通过手机、PC等设备查询用电信息、了解用电状况，并在线缴费；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7.电费管理支持预付费管理和后付费管理；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8.能实时监测公寓内用电状态及违规电器使用情况；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9.能对负载进行精确识别，并可灵活配置是否允许使用；公寓内在保证空调正常使用的情况下，能准确识别阻性负载，并拒绝使用。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10.用电管理策略要多样化，管理要满足学生实际生活需要。如由统一的定时断电转化为小功率用电模式，满足夜间充电需求；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11.能够获取校园用电能耗的实时数据。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12.系统平台能将用电表终端传送回来的数据进行统计分析，形成各个层面的日报、月报、季报、年报等报表，供公寓管理员查，及提供水电数据挖掘分析报表供领导决策参考。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13.依托大数据分析平台对用电数据进行多维度分析，掌握整体用能数据、系统运行状况、用电安全预警。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14.智能用电系统平台具有故障预警报警功能，及时将设备故障信息及电量不足的用户信息通过短信、手机APP推送给用户，及时提醒故障处理、水电余额不足自助缴费。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 xml:space="preserve">15.定时送断电每天支持8个时间点；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16.支持退电及换房间功能；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17.支持补贴清零功能（可按月发放用电补贴，如当月未使用完毕则可在设定时间自动清零）；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18.支持透支使用。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19.设备状态报警：可对系统中主要设备运行状态进行监控，异常设备可通过手机APP向相关维护人员推送消息。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三、其他硬件要求和售后服务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1、提供相应的售后技术支持，包括与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“数字洛科”平台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或其他平台、数据中心的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对接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工作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2、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每栋公寓的交换机需使用华为三层交换机，背板带宽≥168Gbps，包转发率≥96Mpps。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、配备一台服务器，服务器要求：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6230*4/128G/480G SSD固态*2, SAS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硬盘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2T*6/H730P 2G缓存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，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支持raid 0/1/5/50/4口千兆+双口万兆（含模块）/1600W*2/双端口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，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 xml:space="preserve">8Gb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，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光纤通道HBA*2/滑轨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4、服务器配套虚拟化软件。要求此次所提供虚拟化软件，与后期扩容虚拟化软件，可无缝对接。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要求：正版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8颗CPU虚拟化授权（其中4颗CPU，利旧戴尔服务器），非OEM版本，提供原厂序列号。软件版本为企业版,带管理端授权（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品牌要求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深信服、华为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、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Vmware）。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8E"/>
    <w:rsid w:val="00031243"/>
    <w:rsid w:val="00042965"/>
    <w:rsid w:val="00323C25"/>
    <w:rsid w:val="003F6BE8"/>
    <w:rsid w:val="004C5A0D"/>
    <w:rsid w:val="00540667"/>
    <w:rsid w:val="005512A4"/>
    <w:rsid w:val="005F01DB"/>
    <w:rsid w:val="005F725F"/>
    <w:rsid w:val="00640C4D"/>
    <w:rsid w:val="006E7A47"/>
    <w:rsid w:val="00725D35"/>
    <w:rsid w:val="00860643"/>
    <w:rsid w:val="008C0921"/>
    <w:rsid w:val="008D128B"/>
    <w:rsid w:val="00976CA4"/>
    <w:rsid w:val="00AC1E8E"/>
    <w:rsid w:val="00AE0A81"/>
    <w:rsid w:val="00AE5388"/>
    <w:rsid w:val="00B1180F"/>
    <w:rsid w:val="00C35CB1"/>
    <w:rsid w:val="00D45074"/>
    <w:rsid w:val="00E53C28"/>
    <w:rsid w:val="00ED0010"/>
    <w:rsid w:val="00F56639"/>
    <w:rsid w:val="00FA0375"/>
    <w:rsid w:val="06F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link w:val="6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HTML 预设格式 字符"/>
    <w:basedOn w:val="4"/>
    <w:link w:val="3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1 字符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ask-titl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</Words>
  <Characters>1118</Characters>
  <Lines>9</Lines>
  <Paragraphs>2</Paragraphs>
  <TotalTime>96</TotalTime>
  <ScaleCrop>false</ScaleCrop>
  <LinksUpToDate>false</LinksUpToDate>
  <CharactersWithSpaces>1311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2021-05-21T08:28:00Z</dcterms:created>
  <dc:creator>郭少伟</dc:creator>
  <cp:lastModifiedBy>孙龙龙</cp:lastModifiedBy>
  <dcterms:modified xsi:type="dcterms:W3CDTF">2021-05-24T09:01:21Z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