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
        <w:jc w:val="center"/>
        <w:rPr>
          <w:rFonts w:ascii="宋体" w:hAnsi="宋体" w:cs="宋体"/>
          <w:sz w:val="24"/>
        </w:rPr>
      </w:pPr>
      <w:bookmarkStart w:id="0" w:name="_GoBack"/>
      <w:bookmarkEnd w:id="0"/>
      <w:r>
        <w:rPr>
          <w:rFonts w:hint="eastAsia" w:ascii="宋体" w:hAnsi="宋体" w:eastAsia="宋体" w:cs="宋体"/>
          <w:b/>
          <w:bCs/>
          <w:sz w:val="32"/>
          <w:szCs w:val="32"/>
        </w:rPr>
        <w:t>软件参数介绍</w:t>
      </w:r>
    </w:p>
    <w:tbl>
      <w:tblPr>
        <w:tblStyle w:val="9"/>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 w:type="dxa"/>
          </w:tcPr>
          <w:p>
            <w:pPr>
              <w:jc w:val="center"/>
            </w:pPr>
            <w:r>
              <w:rPr>
                <w:rFonts w:hint="eastAsia"/>
              </w:rPr>
              <w:t>序列</w:t>
            </w:r>
          </w:p>
        </w:tc>
        <w:tc>
          <w:tcPr>
            <w:tcW w:w="1885" w:type="dxa"/>
          </w:tcPr>
          <w:p>
            <w:pPr>
              <w:jc w:val="center"/>
            </w:pPr>
            <w:r>
              <w:rPr>
                <w:rFonts w:hint="eastAsia"/>
              </w:rPr>
              <w:t>软件</w:t>
            </w:r>
          </w:p>
        </w:tc>
        <w:tc>
          <w:tcPr>
            <w:tcW w:w="7230" w:type="dxa"/>
          </w:tcPr>
          <w:p>
            <w:pPr>
              <w:jc w:val="center"/>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 w:type="dxa"/>
          </w:tcPr>
          <w:p/>
          <w:p/>
          <w:p/>
          <w:p/>
          <w:p/>
          <w:p/>
          <w:p/>
          <w:p/>
          <w:p/>
          <w:p/>
          <w:p/>
          <w:p/>
          <w:p>
            <w:r>
              <w:rPr>
                <w:rFonts w:hint="eastAsia"/>
              </w:rPr>
              <w:t xml:space="preserve">  </w:t>
            </w:r>
          </w:p>
          <w:p/>
          <w:p/>
          <w:p/>
          <w:p/>
          <w:p/>
          <w:p/>
          <w:p>
            <w:pPr>
              <w:rPr>
                <w:rFonts w:eastAsia="宋体"/>
              </w:rPr>
            </w:pPr>
            <w:r>
              <w:rPr>
                <w:rFonts w:hint="eastAsia"/>
              </w:rPr>
              <w:t>1</w:t>
            </w:r>
          </w:p>
        </w:tc>
        <w:tc>
          <w:tcPr>
            <w:tcW w:w="1885" w:type="dxa"/>
            <w:vAlign w:val="center"/>
          </w:tcPr>
          <w:p>
            <w:pPr>
              <w:widowControl/>
              <w:rPr>
                <w:rFonts w:ascii="宋体" w:hAnsi="宋体" w:eastAsia="宋体" w:cs="宋体"/>
                <w:kern w:val="0"/>
                <w:sz w:val="22"/>
              </w:rPr>
            </w:pPr>
            <w:r>
              <w:rPr>
                <w:rFonts w:hint="eastAsia" w:ascii="宋体" w:hAnsi="宋体" w:eastAsia="宋体" w:cs="宋体"/>
                <w:kern w:val="0"/>
                <w:sz w:val="22"/>
              </w:rPr>
              <w:t>增值税防伪税控开票实训系统</w:t>
            </w:r>
          </w:p>
        </w:tc>
        <w:tc>
          <w:tcPr>
            <w:tcW w:w="7230" w:type="dxa"/>
          </w:tcPr>
          <w:p>
            <w:pPr>
              <w:rPr>
                <w:rFonts w:hint="eastAsia" w:ascii="宋体" w:hAnsi="宋体"/>
                <w:sz w:val="18"/>
                <w:szCs w:val="18"/>
              </w:rPr>
            </w:pPr>
            <w:r>
              <w:rPr>
                <w:rFonts w:hint="eastAsia" w:ascii="宋体" w:hAnsi="宋体"/>
                <w:sz w:val="18"/>
                <w:szCs w:val="18"/>
              </w:rPr>
              <w:t>1.该系统包含《增值税防伪税控发行子系统》及《增值税防伪税控开票子系统》两个实训子系统，系统模拟了税局端和企业端</w:t>
            </w:r>
          </w:p>
          <w:p>
            <w:pPr>
              <w:rPr>
                <w:rFonts w:hint="eastAsia" w:ascii="宋体" w:hAnsi="宋体"/>
                <w:sz w:val="18"/>
                <w:szCs w:val="18"/>
              </w:rPr>
            </w:pPr>
            <w:r>
              <w:rPr>
                <w:rFonts w:hint="eastAsia" w:ascii="宋体" w:hAnsi="宋体"/>
                <w:sz w:val="18"/>
                <w:szCs w:val="18"/>
              </w:rPr>
              <w:t>2.配备最新版金税盘，可模拟税局端进行金税盘发行和企业开户，发行后系统自动配备一个完整的企业信息，可以实现发票发售与购买,发票读入、抄报税清卡完成后可循环使用金税盘。</w:t>
            </w:r>
          </w:p>
          <w:p>
            <w:pPr>
              <w:rPr>
                <w:rFonts w:hint="eastAsia" w:ascii="宋体" w:hAnsi="宋体"/>
                <w:sz w:val="18"/>
                <w:szCs w:val="18"/>
              </w:rPr>
            </w:pPr>
            <w:r>
              <w:rPr>
                <w:rFonts w:hint="eastAsia" w:ascii="宋体" w:hAnsi="宋体"/>
                <w:sz w:val="18"/>
                <w:szCs w:val="18"/>
              </w:rPr>
              <w:t>3.★系统设置有客户编码和商品编码功能，客户编码用来录入与企业发生业务关系，需要为其开具发票的客户信息，也可以对已录入的客户信息进行修改和删除，也可以导入和导出客户编码信息。填开发票时，“购方信息”可以从该客户编码库中选取。商品编码用来录入本企业所销售的商品信息，也可以对已录入的商品信息进行修改和删除，也可以导入和导出商品编码信息。填开发票时，“商品信息”可以从该商品编码库中选取。增加时需填写商品名称、商品税目、简码、税率、规格型号、单价、计量单位、税收分类编码，可对税率、含税价标志、享受优惠政策、优惠政策类型选择，税率选择必须是2019年最新税率</w:t>
            </w:r>
          </w:p>
          <w:p>
            <w:pPr>
              <w:rPr>
                <w:rFonts w:ascii="宋体" w:hAnsi="宋体"/>
                <w:sz w:val="18"/>
                <w:szCs w:val="18"/>
              </w:rPr>
            </w:pPr>
            <w:r>
              <w:rPr>
                <w:rFonts w:hint="eastAsia" w:ascii="宋体" w:hAnsi="宋体"/>
                <w:sz w:val="18"/>
                <w:szCs w:val="18"/>
              </w:rPr>
              <w:t>4.开票软件满足增值税专票、增值税普票、增值税电子票开具，开票日期可以进行模拟设置，设置需要的开票日期，电子发票开具后在发票查询，可以查询到有开票企业发票专用章的电子发票。</w:t>
            </w:r>
          </w:p>
          <w:p>
            <w:pPr>
              <w:rPr>
                <w:rFonts w:ascii="宋体" w:hAnsi="宋体"/>
                <w:sz w:val="18"/>
                <w:szCs w:val="18"/>
              </w:rPr>
            </w:pPr>
            <w:r>
              <w:rPr>
                <w:rFonts w:hint="eastAsia" w:ascii="宋体" w:hAnsi="宋体"/>
                <w:sz w:val="18"/>
                <w:szCs w:val="18"/>
              </w:rPr>
              <w:t>5.★系统开票符合以下5个流程和规定：发票管理:1.发票读入：对金税盘中的发票读入，校验购买发票的数量、时间、开票限额、号码段、发票代码，且发票一次性读入系统内，再次领购发票时需抄完税清完卡。2.发票填开：支持填开增值税专用发票和增值税普通发票。系统可以开具正常发票、折扣发票、清单发票、红字发票、差额发票，发票打印规格和真实企业一致。开具红字时遵循先进行抄报税清卡，然后开具红字发票信息表上传至税局，再从税局下载红字发票信息表反馈信息，再来开具红字发票，同时开具红字发票时需要校验对应蓝字发票的号码和代码。3.发票查询：可以按照月份进行历史开票记录进行查询，并可以导出。4.发票作废。可以对已开发票和未开发票作废，对于未开发票可以进行批量作废。5.发票退回：可将未使用的发票退回， 报税处理：1.抄税。包括上报汇总远程清卡和办税厅抄税，当面清卡两种模式。同时系统支持模拟征期抄税和非征期抄税。在抄税的时候，有明显的进程提示信息</w:t>
            </w:r>
          </w:p>
          <w:p>
            <w:pPr>
              <w:rPr>
                <w:rFonts w:hint="eastAsia" w:ascii="宋体" w:hAnsi="宋体"/>
                <w:sz w:val="18"/>
                <w:szCs w:val="18"/>
              </w:rPr>
            </w:pPr>
            <w:r>
              <w:rPr>
                <w:rFonts w:hint="eastAsia" w:ascii="宋体" w:hAnsi="宋体"/>
                <w:sz w:val="18"/>
                <w:szCs w:val="18"/>
              </w:rPr>
              <w:t>6.★开具的发票为本地化票样，可以实现开具增值税专用发票和增值税普通发票，具有建筑业，交通运输、仓储及邮政业，房地产业，租赁和商务服务业，居民服务、修理和其他服务业差额开票功能；同时能根据票据信息自动生成108位防伪电子密文，能够自动生成发票二维码，能对发票的打印参数进行设置，可配合实训发票一比一打印</w:t>
            </w:r>
          </w:p>
          <w:p>
            <w:pPr>
              <w:rPr>
                <w:rFonts w:hint="eastAsia" w:ascii="宋体" w:hAnsi="宋体"/>
                <w:sz w:val="18"/>
                <w:szCs w:val="18"/>
              </w:rPr>
            </w:pPr>
            <w:r>
              <w:rPr>
                <w:rFonts w:hint="eastAsia" w:ascii="宋体" w:hAnsi="宋体"/>
                <w:sz w:val="18"/>
                <w:szCs w:val="18"/>
              </w:rPr>
              <w:t>7.★开具发票时能够直接输入购买方信息，也能直接选取客户编码设置的企业信息，货物或应税劳务、服务名称需能够带出税收分类简码，如*住宿服务*住宿费，发票的开票日期可自由设置。</w:t>
            </w:r>
          </w:p>
          <w:p>
            <w:pPr>
              <w:rPr>
                <w:rFonts w:hint="eastAsia" w:ascii="宋体" w:hAnsi="宋体"/>
                <w:sz w:val="18"/>
                <w:szCs w:val="18"/>
              </w:rPr>
            </w:pPr>
            <w:r>
              <w:rPr>
                <w:rFonts w:hint="eastAsia" w:ascii="宋体" w:hAnsi="宋体"/>
                <w:sz w:val="18"/>
                <w:szCs w:val="18"/>
              </w:rPr>
              <w:t>8.★电子发票支持手机扫码开票的功能，在电子发票开具时可以生成商户二维码，扫码方式支持：微信扫描二维码、支付宝扫描二维码等两种方式；手机端扫码商户二维码后可填写企业信息或个人信息；企业信息支持录入发票抬头、企业税号、邮箱地址，点击展开按钮后可以录入企业地址、企业电话、开户银行、开户账号，点击提交按钮后该信息可上传至电子发票系统中，用于完成电子发票开具。</w:t>
            </w:r>
          </w:p>
          <w:p>
            <w:pPr>
              <w:rPr>
                <w:rFonts w:hint="eastAsia" w:ascii="宋体" w:hAnsi="宋体"/>
                <w:sz w:val="18"/>
                <w:szCs w:val="18"/>
              </w:rPr>
            </w:pPr>
            <w:r>
              <w:rPr>
                <w:rFonts w:hint="eastAsia" w:ascii="宋体" w:hAnsi="宋体"/>
                <w:sz w:val="18"/>
                <w:szCs w:val="18"/>
              </w:rPr>
              <w:t>9.★电子发票可根据手机端提交的发票抬头、企业税号等信息开具电子发票，在增值税电子普通发票填开界面的发票抬头中可以查询到手机端提交的开票申请信息，可以将申请开具的企业信息带入发票填开界面，将开具后的电子发票以电子邮件形式发送到提交人的电子邮箱中，开票申请人打开邮箱可以收到电子发票邮件，点击PDF文件可以预览和下载相关电子发票。</w:t>
            </w:r>
          </w:p>
          <w:p>
            <w:pPr>
              <w:rPr>
                <w:rFonts w:hint="eastAsia" w:ascii="宋体" w:hAnsi="宋体"/>
                <w:sz w:val="18"/>
                <w:szCs w:val="18"/>
              </w:rPr>
            </w:pPr>
            <w:r>
              <w:rPr>
                <w:rFonts w:hint="eastAsia" w:ascii="宋体" w:hAnsi="宋体"/>
                <w:sz w:val="18"/>
                <w:szCs w:val="18"/>
              </w:rPr>
              <w:t>10.软件响应国税总局工作要求，严格要求增值税专用发票和增值税普通发票的开具必须选择相应的编码，开具的发票商品必须能对应相应的税收分类简码、同时匹配对应的税收分类编码，防止虚开发票，加强增收管理。</w:t>
            </w:r>
          </w:p>
          <w:p>
            <w:pPr>
              <w:rPr>
                <w:rFonts w:ascii="宋体" w:hAnsi="宋体"/>
                <w:sz w:val="18"/>
                <w:szCs w:val="18"/>
              </w:rPr>
            </w:pPr>
            <w:r>
              <w:rPr>
                <w:rFonts w:hint="eastAsia" w:ascii="宋体" w:hAnsi="宋体"/>
                <w:sz w:val="18"/>
                <w:szCs w:val="18"/>
              </w:rPr>
              <w:t>11.税收分类编码包含6大类、3000个以上内置的税收分类编码，每个税收分类编码均和真实系统一致，有相应的政策依据，同时能对商品的税率、优惠政策类型进行选择</w:t>
            </w:r>
          </w:p>
          <w:p>
            <w:pPr>
              <w:rPr>
                <w:rFonts w:ascii="宋体" w:hAnsi="宋体"/>
                <w:sz w:val="18"/>
                <w:szCs w:val="18"/>
              </w:rPr>
            </w:pPr>
            <w:r>
              <w:rPr>
                <w:rFonts w:hint="eastAsia" w:ascii="宋体" w:hAnsi="宋体"/>
                <w:sz w:val="18"/>
                <w:szCs w:val="18"/>
              </w:rPr>
              <w:t>12.单张发票最高限额与总局金税标准一致</w:t>
            </w:r>
          </w:p>
          <w:p>
            <w:pPr>
              <w:rPr>
                <w:rFonts w:ascii="宋体" w:hAnsi="宋体"/>
                <w:sz w:val="18"/>
                <w:szCs w:val="18"/>
              </w:rPr>
            </w:pPr>
            <w:r>
              <w:rPr>
                <w:rFonts w:hint="eastAsia" w:ascii="宋体" w:hAnsi="宋体"/>
                <w:sz w:val="18"/>
                <w:szCs w:val="18"/>
              </w:rPr>
              <w:t>13.支持复制已开发票的信息</w:t>
            </w:r>
          </w:p>
          <w:p>
            <w:pPr>
              <w:rPr>
                <w:rFonts w:ascii="宋体" w:hAnsi="宋体"/>
                <w:sz w:val="18"/>
                <w:szCs w:val="18"/>
              </w:rPr>
            </w:pPr>
            <w:r>
              <w:rPr>
                <w:rFonts w:hint="eastAsia" w:ascii="宋体" w:hAnsi="宋体"/>
                <w:sz w:val="18"/>
                <w:szCs w:val="18"/>
              </w:rPr>
              <w:t>14.可以修改金税卡时钟，模拟征期和非征期抄税，金税盘锁死则不可开具发票，修改金税卡时钟后方可继续开票</w:t>
            </w:r>
          </w:p>
          <w:p>
            <w:pPr>
              <w:rPr>
                <w:rFonts w:ascii="宋体" w:hAnsi="宋体"/>
                <w:sz w:val="18"/>
                <w:szCs w:val="18"/>
              </w:rPr>
            </w:pPr>
            <w:r>
              <w:rPr>
                <w:rFonts w:hint="eastAsia" w:ascii="宋体" w:hAnsi="宋体"/>
                <w:sz w:val="18"/>
                <w:szCs w:val="18"/>
              </w:rPr>
              <w:t>15.可以进行发票查询、作废、修复</w:t>
            </w:r>
          </w:p>
          <w:p>
            <w:pPr>
              <w:rPr>
                <w:rFonts w:hint="eastAsia" w:ascii="宋体" w:hAnsi="宋体"/>
                <w:sz w:val="18"/>
                <w:szCs w:val="18"/>
              </w:rPr>
            </w:pPr>
            <w:r>
              <w:rPr>
                <w:rFonts w:hint="eastAsia" w:ascii="宋体" w:hAnsi="宋体"/>
                <w:sz w:val="18"/>
                <w:szCs w:val="18"/>
              </w:rPr>
              <w:t>16.可实现含税价与不含税价的自动换算，价税合计大小写自动转化填充</w:t>
            </w:r>
          </w:p>
          <w:p>
            <w:pPr>
              <w:rPr>
                <w:rFonts w:hint="eastAsia" w:ascii="宋体" w:hAnsi="宋体"/>
                <w:sz w:val="18"/>
                <w:szCs w:val="18"/>
              </w:rPr>
            </w:pPr>
            <w:r>
              <w:rPr>
                <w:rFonts w:hint="eastAsia" w:ascii="宋体" w:hAnsi="宋体"/>
                <w:sz w:val="18"/>
                <w:szCs w:val="18"/>
              </w:rPr>
              <w:t>17.在报税处理中可以对发票资料分类查询及打印，能够查看金税设备信息，增值税专用发票及增值税普通发票的详细信息。</w:t>
            </w:r>
          </w:p>
          <w:p>
            <w:pPr>
              <w:rPr>
                <w:rFonts w:hint="eastAsia" w:ascii="宋体" w:hAnsi="宋体"/>
                <w:sz w:val="18"/>
                <w:szCs w:val="18"/>
              </w:rPr>
            </w:pPr>
            <w:r>
              <w:rPr>
                <w:rFonts w:hint="eastAsia" w:ascii="宋体" w:hAnsi="宋体"/>
                <w:sz w:val="18"/>
                <w:szCs w:val="18"/>
              </w:rPr>
              <w:t>18.能查询金税设备黑匣子中纳税统计资料，包括：防伪发票领用存统计及发票销售金额和税额的统计，汇总范围可选择金税盘设备使用以来的任意年月，且能够打印专用发票汇总表</w:t>
            </w:r>
          </w:p>
          <w:p>
            <w:pPr>
              <w:rPr>
                <w:rFonts w:hint="eastAsia" w:ascii="宋体" w:hAnsi="宋体"/>
                <w:sz w:val="18"/>
                <w:szCs w:val="18"/>
              </w:rPr>
            </w:pPr>
            <w:r>
              <w:rPr>
                <w:rFonts w:hint="eastAsia" w:ascii="宋体" w:hAnsi="宋体"/>
                <w:sz w:val="18"/>
                <w:szCs w:val="18"/>
              </w:rPr>
              <w:t>19.此系统有竞赛版本，能够对开票系统进行评分，能够进行成绩分析统计。</w:t>
            </w:r>
          </w:p>
          <w:p>
            <w:pPr>
              <w:rPr>
                <w:rFonts w:hint="eastAsia" w:ascii="宋体" w:hAnsi="宋体"/>
                <w:sz w:val="18"/>
                <w:szCs w:val="18"/>
              </w:rPr>
            </w:pPr>
            <w:r>
              <w:rPr>
                <w:rFonts w:hint="eastAsia" w:ascii="宋体" w:hAnsi="宋体"/>
                <w:sz w:val="18"/>
                <w:szCs w:val="18"/>
              </w:rPr>
              <w:t>20.★能够将发票信息导出为XML文档，配合增值税一般纳税人发票采集系统进行销项导入；</w:t>
            </w:r>
          </w:p>
          <w:p>
            <w:pPr>
              <w:rPr>
                <w:rFonts w:ascii="宋体" w:hAnsi="宋体"/>
                <w:sz w:val="18"/>
                <w:szCs w:val="18"/>
              </w:rPr>
            </w:pPr>
            <w:r>
              <w:rPr>
                <w:rFonts w:hint="eastAsia" w:ascii="宋体" w:hAnsi="宋体"/>
                <w:sz w:val="18"/>
                <w:szCs w:val="18"/>
              </w:rPr>
              <w:t>21.★系统具有评分功能，开票结束后选择对应案例，勾选需要评分的发票，提交后即可实现系统自动评分，且评过分的发票不能再次被评分。评分后可查询具体案例的得分。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 w:type="dxa"/>
          </w:tcPr>
          <w:p/>
          <w:p/>
          <w:p/>
          <w:p/>
          <w:p/>
          <w:p/>
          <w:p/>
          <w:p>
            <w:pPr>
              <w:rPr>
                <w:rFonts w:hint="eastAsia"/>
              </w:rPr>
            </w:pPr>
          </w:p>
          <w:p>
            <w:pPr>
              <w:rPr>
                <w:rFonts w:hint="eastAsia"/>
              </w:rPr>
            </w:pPr>
          </w:p>
          <w:p>
            <w:pPr>
              <w:rPr>
                <w:rFonts w:hint="eastAsia"/>
              </w:rPr>
            </w:pPr>
          </w:p>
          <w:p>
            <w:pPr>
              <w:rPr>
                <w:rFonts w:hint="eastAsia"/>
              </w:rPr>
            </w:pPr>
          </w:p>
          <w:p>
            <w:pPr>
              <w:rPr>
                <w:rFonts w:eastAsia="宋体"/>
              </w:rPr>
            </w:pPr>
            <w:r>
              <w:rPr>
                <w:rFonts w:hint="eastAsia"/>
              </w:rPr>
              <w:t>2</w:t>
            </w:r>
          </w:p>
        </w:tc>
        <w:tc>
          <w:tcPr>
            <w:tcW w:w="1885" w:type="dxa"/>
            <w:vAlign w:val="center"/>
          </w:tcPr>
          <w:p>
            <w:pPr>
              <w:widowControl/>
              <w:jc w:val="center"/>
              <w:rPr>
                <w:rFonts w:ascii="宋体" w:hAnsi="宋体" w:eastAsia="宋体" w:cs="宋体"/>
                <w:kern w:val="0"/>
                <w:sz w:val="22"/>
              </w:rPr>
            </w:pPr>
          </w:p>
          <w:p>
            <w:pPr>
              <w:widowControl/>
              <w:jc w:val="center"/>
              <w:rPr>
                <w:rFonts w:ascii="宋体" w:hAnsi="宋体" w:eastAsia="宋体" w:cs="宋体"/>
                <w:kern w:val="0"/>
                <w:sz w:val="22"/>
              </w:rPr>
            </w:pPr>
          </w:p>
          <w:p>
            <w:pPr>
              <w:widowControl/>
              <w:jc w:val="center"/>
              <w:rPr>
                <w:rFonts w:ascii="宋体" w:hAnsi="宋体" w:eastAsia="宋体" w:cs="宋体"/>
                <w:kern w:val="0"/>
                <w:sz w:val="22"/>
              </w:rPr>
            </w:pPr>
          </w:p>
          <w:p>
            <w:pPr>
              <w:widowControl/>
              <w:jc w:val="center"/>
              <w:rPr>
                <w:rFonts w:ascii="宋体" w:hAnsi="宋体" w:eastAsia="宋体" w:cs="宋体"/>
                <w:kern w:val="0"/>
                <w:sz w:val="22"/>
              </w:rPr>
            </w:pPr>
          </w:p>
          <w:p>
            <w:pPr>
              <w:widowControl/>
              <w:jc w:val="center"/>
              <w:rPr>
                <w:rFonts w:ascii="宋体" w:hAnsi="宋体" w:eastAsia="宋体" w:cs="宋体"/>
                <w:kern w:val="0"/>
                <w:sz w:val="22"/>
              </w:rPr>
            </w:pPr>
          </w:p>
          <w:p>
            <w:pPr>
              <w:widowControl/>
              <w:jc w:val="center"/>
              <w:rPr>
                <w:rFonts w:ascii="宋体" w:hAnsi="宋体" w:eastAsia="宋体" w:cs="宋体"/>
                <w:kern w:val="0"/>
                <w:sz w:val="22"/>
              </w:rPr>
            </w:pPr>
          </w:p>
          <w:p>
            <w:pPr>
              <w:widowControl/>
              <w:jc w:val="center"/>
              <w:rPr>
                <w:rFonts w:ascii="宋体" w:hAnsi="宋体" w:eastAsia="宋体" w:cs="宋体"/>
                <w:kern w:val="0"/>
                <w:sz w:val="22"/>
              </w:rPr>
            </w:pPr>
          </w:p>
          <w:p>
            <w:pPr>
              <w:widowControl/>
              <w:jc w:val="center"/>
              <w:rPr>
                <w:rFonts w:ascii="宋体" w:hAnsi="宋体" w:eastAsia="宋体" w:cs="宋体"/>
                <w:kern w:val="0"/>
                <w:sz w:val="22"/>
              </w:rPr>
            </w:pPr>
            <w:r>
              <w:rPr>
                <w:rFonts w:hint="eastAsia" w:ascii="宋体" w:hAnsi="宋体" w:eastAsia="宋体" w:cs="宋体"/>
                <w:kern w:val="0"/>
                <w:sz w:val="22"/>
              </w:rPr>
              <w:t>增值税一般纳税人网上申报实训系统</w:t>
            </w:r>
          </w:p>
        </w:tc>
        <w:tc>
          <w:tcPr>
            <w:tcW w:w="7230" w:type="dxa"/>
          </w:tcPr>
          <w:p>
            <w:pPr>
              <w:pStyle w:val="23"/>
              <w:ind w:firstLine="0" w:firstLineChars="0"/>
              <w:rPr>
                <w:rFonts w:ascii="宋体" w:hAnsi="宋体"/>
                <w:sz w:val="18"/>
                <w:szCs w:val="18"/>
              </w:rPr>
            </w:pPr>
            <w:r>
              <w:rPr>
                <w:rFonts w:hint="eastAsia" w:ascii="宋体" w:hAnsi="宋体"/>
                <w:sz w:val="18"/>
                <w:szCs w:val="18"/>
              </w:rPr>
              <w:t>1.能够满足同时60人在线实训能够模拟一般纳税人网上申报，可以配套教案案例实训、评分、打印封面报告，满足教学需要；</w:t>
            </w:r>
          </w:p>
          <w:p>
            <w:pPr>
              <w:rPr>
                <w:rFonts w:ascii="宋体" w:hAnsi="宋体"/>
                <w:sz w:val="18"/>
                <w:szCs w:val="18"/>
              </w:rPr>
            </w:pPr>
            <w:r>
              <w:rPr>
                <w:rFonts w:hint="eastAsia" w:ascii="宋体" w:hAnsi="宋体"/>
                <w:sz w:val="18"/>
                <w:szCs w:val="18"/>
              </w:rPr>
              <w:t>2.可以设置会计期间企业核定信息，不同的核定信息对应的报表不同，包括一般企业、一般企业总机构、一般企业辅导期、电力企业、航空运输企业、一般企业分支机构、农行企业、含农产品业务企业等核定信息；</w:t>
            </w:r>
          </w:p>
          <w:p>
            <w:pPr>
              <w:rPr>
                <w:rFonts w:ascii="宋体" w:hAnsi="宋体"/>
                <w:sz w:val="18"/>
                <w:szCs w:val="18"/>
              </w:rPr>
            </w:pPr>
            <w:r>
              <w:rPr>
                <w:rFonts w:hint="eastAsia" w:ascii="宋体" w:hAnsi="宋体"/>
                <w:sz w:val="18"/>
                <w:szCs w:val="18"/>
              </w:rPr>
              <w:t>3.具有申报操作流程功能，可以选择选择税款所属期模拟不同期间的税务申报，满足教学需要，能够查看企业申报种类、申报状态、应纳税额、申报日期、网上申报时段等信息，申报状态可以根据具体的报表填写发送状态变换，应纳税额等信息在申报表发送后能够动态显示；</w:t>
            </w:r>
          </w:p>
          <w:p>
            <w:pPr>
              <w:rPr>
                <w:rFonts w:ascii="宋体" w:hAnsi="宋体"/>
                <w:sz w:val="18"/>
                <w:szCs w:val="18"/>
              </w:rPr>
            </w:pPr>
            <w:r>
              <w:rPr>
                <w:rFonts w:hint="eastAsia" w:ascii="宋体" w:hAnsi="宋体"/>
                <w:sz w:val="18"/>
                <w:szCs w:val="18"/>
              </w:rPr>
              <w:t>4.具有往来对象维护、货物信息维护功能，方便在发票采集环境一键选用，可进行客户信息，货物信息的查询、录入、修改、删除，录入的信息不限于企业类别、税号、客户名称、联系电话、联系地址，货物编码、货物名称、规格型号、单价、计量单位、单位净重、单位毛重等信息；</w:t>
            </w:r>
          </w:p>
          <w:p>
            <w:pPr>
              <w:rPr>
                <w:rFonts w:ascii="宋体" w:hAnsi="宋体"/>
                <w:sz w:val="18"/>
                <w:szCs w:val="18"/>
              </w:rPr>
            </w:pPr>
            <w:r>
              <w:rPr>
                <w:rFonts w:hint="eastAsia" w:ascii="宋体" w:hAnsi="宋体"/>
                <w:sz w:val="18"/>
                <w:szCs w:val="18"/>
              </w:rPr>
              <w:t>5.★能够进行发票采集，进项税额转出功能，发票采集数据完成后可以直接自动取数生成相应报表，进项采集功能可以根据案例针对相应税款所属期的进项数据采集，采取可视化窗口，能够看到进项凭证类别、总份数、总税额、可抵扣份数、可抵扣税额。进行凭证类别至少包含增值税专用发票、税控机动车发票、海关缴款书、农产品收购发票、农产品取得发票、代扣代缴通用缴款书、外贸企业进项税额，发票采集可以实现单张录入，修改、删除、批量修改、查询功能，还能直接导入从增值税防伪税控开票系统导出的XML发票文件；</w:t>
            </w:r>
          </w:p>
          <w:p>
            <w:pPr>
              <w:rPr>
                <w:rFonts w:ascii="宋体" w:hAnsi="宋体"/>
                <w:sz w:val="18"/>
                <w:szCs w:val="18"/>
              </w:rPr>
            </w:pPr>
            <w:r>
              <w:rPr>
                <w:rFonts w:hint="eastAsia" w:ascii="宋体" w:hAnsi="宋体"/>
                <w:sz w:val="18"/>
                <w:szCs w:val="18"/>
              </w:rPr>
              <w:t>6.★进项发票采集需要录入发票代码、发票号码，能够一键选择往来对象预设的销货单位，能够一键增加预设的货物信息，能够根据不同的进项票据和即征即退的类型选择不同的税率，税率主要有13%、9%、6%、5%、3%、0%几种，系统根据实际票据类型自动配置可选项，能够进行价税自动计算机价税合计大小写转换，开票日期及认证日期可选，即征即退选项包括一般项目、即征即退、共同分担类的项目，抵扣选项分为允许抵扣、不抵扣、待抵扣，采集保存有逻辑校验，不符合相应即征即退项目的税率的信息不可保存，且有提示信息，其中海关缴款书采集必须填写进口口岸代码、进口口岸名称、缴款书号码方能保存，农产品收购发票必须填写身份证号、付款方式、记账凭证号，农产品取得发票必须选择是否本省发票，填写付款方式、记账凭证号，代扣代缴税收通用缴款书必须填写缴款书号码，扣缴义务人信息，外贸企业进项税额抵扣证明清单直接填写非即征即退、即征即项目本月抵扣金额即可；</w:t>
            </w:r>
          </w:p>
          <w:p>
            <w:pPr>
              <w:rPr>
                <w:rFonts w:ascii="宋体" w:hAnsi="宋体"/>
                <w:sz w:val="18"/>
                <w:szCs w:val="18"/>
              </w:rPr>
            </w:pPr>
            <w:r>
              <w:rPr>
                <w:rFonts w:hint="eastAsia" w:ascii="宋体" w:hAnsi="宋体"/>
                <w:sz w:val="18"/>
                <w:szCs w:val="18"/>
              </w:rPr>
              <w:t>7.能够进行销项数据采集，采集完成后可以直接自动取数生成相应报表，可以根据案例针对相应税款所属期的销项数据采集，采取可视化窗口，能够看到销项类别、正常发票份数、金额、税额，销项类别至少包含增值税专用发票、税控机动车发票、增值税普通发票、普通发票、无票世通销售、纳税检测调整等，发票采集可以实现单张录入，修改、删除、批量修改、查询功能；</w:t>
            </w:r>
          </w:p>
          <w:p>
            <w:pPr>
              <w:rPr>
                <w:rFonts w:ascii="宋体" w:hAnsi="宋体"/>
                <w:sz w:val="18"/>
                <w:szCs w:val="18"/>
              </w:rPr>
            </w:pPr>
            <w:r>
              <w:rPr>
                <w:rFonts w:hint="eastAsia" w:ascii="宋体" w:hAnsi="宋体"/>
                <w:sz w:val="18"/>
                <w:szCs w:val="18"/>
              </w:rPr>
              <w:t>8.销项发票采集需要录入发票代码、发票号码，能够一键选择往来对象预设的销货单位，能够一键增加预设的货物信息，能够根据不同的计税方式和征税项目的类型选择不同的税率，税率主要有13%、9%、6%、5%、3%、0%几种，系统根据实际票据类型自动配置可选项，能够进行价税自动计算机价税合计大小写转换，计税方式包含一般计税、简易征收、免税方式，征税项目分为应税货物、应税劳务、应税服务、不动产、无形资产三类，即征即退选项分为是和否，采集保存有逻辑校验，不符合相应计税方式和征税项目的税率的信息不可保存，且有提示信息。其中无票视同销售、纳税检查调整不需要输入企业信息；</w:t>
            </w:r>
          </w:p>
          <w:p>
            <w:pPr>
              <w:rPr>
                <w:rFonts w:ascii="宋体" w:hAnsi="宋体"/>
                <w:sz w:val="18"/>
                <w:szCs w:val="18"/>
              </w:rPr>
            </w:pPr>
            <w:r>
              <w:rPr>
                <w:rFonts w:hint="eastAsia" w:ascii="宋体" w:hAnsi="宋体"/>
                <w:sz w:val="18"/>
                <w:szCs w:val="18"/>
              </w:rPr>
              <w:t>9.进项税额转出可对具体项目的非即征即退、即征即退信息录入，具体项目包含免税项目用、集体福利、个人消费、非正常损失、简易计税方法征税项目用、免抵退税办法不得抵扣的进项税额、纳税检查调减进项税额、红字专用发票信息表注明的进行税额、上期留抵税额抵减欠税、上期留抵税额退税、其他应作进项税额转出的情况；</w:t>
            </w:r>
          </w:p>
          <w:p>
            <w:pPr>
              <w:pStyle w:val="23"/>
              <w:ind w:firstLine="0" w:firstLineChars="0"/>
              <w:jc w:val="left"/>
              <w:rPr>
                <w:rFonts w:hint="eastAsia" w:ascii="宋体" w:hAnsi="宋体"/>
                <w:sz w:val="18"/>
                <w:szCs w:val="18"/>
              </w:rPr>
            </w:pPr>
            <w:r>
              <w:rPr>
                <w:rFonts w:hint="eastAsia" w:ascii="宋体" w:hAnsi="宋体"/>
                <w:sz w:val="18"/>
                <w:szCs w:val="18"/>
              </w:rPr>
              <w:t>10.★申报表填写，其中申报表要符合全面营改增的要求与规范，申报表附有7张附表及其清单并与企业实际使用的版本一致，系统有强校验，增值税一般纳税人主表不可直接打开，必须填写好增值税纳税申报表附列资料（四）后方可填写增值税纳税申报表附列资料（三）和增值税纳税申报表附列资料（二），然后才能生成增值税一般纳税人主表，报表填写会有相应的填表说明，部分表单填写不完整或者有逻辑问题，系统会给予具体错误提示，附列资料表（二）的申报抵扣的进项税额、进项税额转出额等信息，可直接通过系统自动提取，附列资料表（一）的销项数据也直接通过系统自动取数，报表的删除也需严格遵循相应的勾稽关系、每张报表均可放大、缩小，能够预览以及完整打印</w:t>
            </w:r>
          </w:p>
          <w:p>
            <w:pPr>
              <w:rPr>
                <w:rFonts w:ascii="宋体" w:hAnsi="宋体"/>
                <w:sz w:val="18"/>
                <w:szCs w:val="18"/>
              </w:rPr>
            </w:pPr>
            <w:r>
              <w:rPr>
                <w:rFonts w:hint="eastAsia" w:ascii="宋体" w:hAnsi="宋体"/>
                <w:sz w:val="18"/>
                <w:szCs w:val="18"/>
              </w:rPr>
              <w:t>11.增值税纳税申报表附列资料（三）中的项目及栏次中的税率必须是13%、9%等最新税率，增值税纳税申报表附列资料（一）中一般计税方法-项目及栏次中的税率必须是最新的13%和9%的最新税率；</w:t>
            </w:r>
          </w:p>
          <w:p>
            <w:pPr>
              <w:pStyle w:val="23"/>
              <w:ind w:firstLine="0" w:firstLineChars="0"/>
              <w:jc w:val="left"/>
              <w:rPr>
                <w:rFonts w:hint="eastAsia" w:ascii="宋体" w:hAnsi="宋体"/>
                <w:sz w:val="18"/>
                <w:szCs w:val="18"/>
              </w:rPr>
            </w:pPr>
            <w:r>
              <w:rPr>
                <w:rFonts w:hint="eastAsia" w:ascii="宋体" w:hAnsi="宋体"/>
                <w:sz w:val="18"/>
                <w:szCs w:val="18"/>
              </w:rPr>
              <w:t>12.增值税一般纳税人申报表包括20张报表，分别是航空运输企业试点地区分支机构传递单、邮政企业分支机构增值税汇总纳税信息传递单、铁路运输企业分支机构增值税汇总纳税信息传递单、电信企业分支机构增值税汇总纳税信息传递单、分支机构增值税汇总纳税信息传递单、本期抵扣进项税额结构明细表、营改增税负分析测算明细表、投入产出法核定农产品增值税进项税额计算表、成本法核定农产品增值税进项税额计算表、购进农产品直接销售核定农产品增值税进项税额计算表、购进农产品用于生产经营且不够成货物实体核定农产品增值税进项税额计算表、部分产品销售统计表、增值税一般纳税人主表、增值税纳税申报表附列资料一（本期销售情况明细）、增值税纳税申报表附列资料二（本期进项税额明细）、增值税纳税申报表附列资料三、增值税纳税申报表附列资料四（税额抵减情况表）、成品油购销存情况明细表、代扣代缴税收通用缴款书抵扣清单、应税服务扣除项目清单、增值税减免税申报明细表、附表15：电力企业传递单、农产品核定扣除增值税进项税额计算表（汇总表）。</w:t>
            </w:r>
          </w:p>
          <w:p>
            <w:pPr>
              <w:rPr>
                <w:rFonts w:ascii="宋体" w:hAnsi="宋体"/>
                <w:sz w:val="18"/>
                <w:szCs w:val="18"/>
              </w:rPr>
            </w:pPr>
            <w:r>
              <w:rPr>
                <w:rFonts w:hint="eastAsia" w:ascii="宋体" w:hAnsi="宋体"/>
                <w:sz w:val="18"/>
                <w:szCs w:val="18"/>
              </w:rPr>
              <w:t>13.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pPr>
              <w:rPr>
                <w:rFonts w:ascii="宋体" w:hAnsi="宋体"/>
                <w:sz w:val="18"/>
                <w:szCs w:val="18"/>
              </w:rPr>
            </w:pPr>
            <w:r>
              <w:rPr>
                <w:rFonts w:hint="eastAsia" w:ascii="宋体" w:hAnsi="宋体"/>
                <w:sz w:val="18"/>
                <w:szCs w:val="18"/>
              </w:rPr>
              <w:t>14.申报成功后可通过申报种类、申报所属期对历史申报结果查询，可以看到申报种类、报表名称、申报日期、申报结果、申报类型、应纳税额、扣款时间。能看查看每次申报的每张详细报表，能够预览和打印相应报；</w:t>
            </w:r>
          </w:p>
          <w:p>
            <w:pPr>
              <w:rPr>
                <w:rFonts w:ascii="宋体" w:hAnsi="宋体"/>
                <w:sz w:val="18"/>
                <w:szCs w:val="18"/>
              </w:rPr>
            </w:pPr>
            <w:r>
              <w:rPr>
                <w:rFonts w:hint="eastAsia" w:ascii="宋体" w:hAnsi="宋体"/>
                <w:sz w:val="18"/>
                <w:szCs w:val="18"/>
              </w:rPr>
              <w:t>15.申报成功后可进行网上缴税，系统提示缴税单位信息，税额，缴税时间， 缴税成功后自动生成校验反馈信息；</w:t>
            </w:r>
          </w:p>
          <w:p>
            <w:pPr>
              <w:rPr>
                <w:rFonts w:ascii="宋体" w:hAnsi="宋体"/>
                <w:sz w:val="18"/>
                <w:szCs w:val="18"/>
              </w:rPr>
            </w:pPr>
            <w:r>
              <w:rPr>
                <w:rFonts w:hint="eastAsia" w:ascii="宋体" w:hAnsi="宋体"/>
                <w:sz w:val="18"/>
                <w:szCs w:val="18"/>
              </w:rPr>
              <w:t>16.有介质传送功能，能够进行基本信息导入、核定信息导入、反馈文件导入、申报文件导出等操作；</w:t>
            </w:r>
          </w:p>
          <w:p>
            <w:pPr>
              <w:rPr>
                <w:rFonts w:ascii="宋体" w:hAnsi="宋体"/>
                <w:sz w:val="18"/>
                <w:szCs w:val="18"/>
              </w:rPr>
            </w:pPr>
            <w:r>
              <w:rPr>
                <w:rFonts w:hint="eastAsia" w:ascii="宋体" w:hAnsi="宋体"/>
                <w:sz w:val="18"/>
                <w:szCs w:val="18"/>
              </w:rPr>
              <w:t>17.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其中申报作废功能是在评分统计完成后才可使用，并且作废后，不可直接修改发票采集中的销项或进项发票，必须先在删除申报表中申报数据后，才可修改发票采集的信息。实训完成后可以直接打印封面报告，封面报告包含企业信息、学号信息及评分信息；</w:t>
            </w:r>
          </w:p>
          <w:p>
            <w:pPr>
              <w:rPr>
                <w:rFonts w:ascii="宋体" w:hAnsi="宋体"/>
                <w:sz w:val="18"/>
                <w:szCs w:val="18"/>
              </w:rPr>
            </w:pPr>
            <w:r>
              <w:rPr>
                <w:rFonts w:hint="eastAsia" w:ascii="宋体" w:hAnsi="宋体"/>
                <w:sz w:val="18"/>
                <w:szCs w:val="18"/>
              </w:rPr>
              <w:t>18.预留与银行接口，可以实现网络缴纳税款；</w:t>
            </w:r>
          </w:p>
          <w:p>
            <w:pPr>
              <w:rPr>
                <w:rFonts w:ascii="宋体" w:hAnsi="宋体"/>
                <w:sz w:val="18"/>
                <w:szCs w:val="18"/>
              </w:rPr>
            </w:pPr>
            <w:r>
              <w:rPr>
                <w:rFonts w:hint="eastAsia" w:ascii="宋体" w:hAnsi="宋体"/>
                <w:sz w:val="18"/>
                <w:szCs w:val="18"/>
              </w:rPr>
              <w:t>19.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pPr>
              <w:pStyle w:val="22"/>
              <w:rPr>
                <w:rFonts w:ascii="宋体" w:hAnsi="宋体"/>
                <w:sz w:val="18"/>
                <w:szCs w:val="18"/>
              </w:rPr>
            </w:pPr>
            <w:r>
              <w:rPr>
                <w:rFonts w:hint="eastAsia" w:ascii="宋体" w:hAnsi="宋体"/>
                <w:sz w:val="18"/>
                <w:szCs w:val="18"/>
              </w:rPr>
              <w:t>20.须有独立的案例管理系统，系统中自带增值税一般纳税人实训案例不少于6套</w:t>
            </w:r>
            <w:r>
              <w:rPr>
                <w:rFonts w:hint="eastAsia"/>
                <w:sz w:val="18"/>
                <w:szCs w:val="18"/>
              </w:rPr>
              <w:t>，</w:t>
            </w:r>
            <w:r>
              <w:rPr>
                <w:rFonts w:hint="eastAsia" w:ascii="宋体" w:hAnsi="宋体"/>
                <w:sz w:val="18"/>
                <w:szCs w:val="18"/>
              </w:rPr>
              <w:t>支持老师选择系统提供案例，可以查看案例的标准答案，也可以发布案例标准答案，学生操作完成可以自动评分。系统具有正规出版社出版的“十二五”普通高等教育规划配套教材，教材上具有系统使用说明和实训案例，系统支持教材上实训案例评分；</w:t>
            </w:r>
          </w:p>
          <w:p>
            <w:pPr>
              <w:rPr>
                <w:rFonts w:hint="eastAsia" w:ascii="宋体" w:hAnsi="宋体"/>
                <w:sz w:val="18"/>
                <w:szCs w:val="18"/>
              </w:rPr>
            </w:pPr>
            <w:r>
              <w:rPr>
                <w:rFonts w:hint="eastAsia" w:ascii="宋体" w:hAnsi="宋体"/>
                <w:sz w:val="18"/>
                <w:szCs w:val="18"/>
              </w:rPr>
              <w:t>21.有防作弊验证码功能，每个学生自动分配一个纳税户并按用户所在地纳税人识别号编号规则自动生成该生唯一防作弊验证码；</w:t>
            </w:r>
          </w:p>
          <w:p>
            <w:r>
              <w:rPr>
                <w:rFonts w:hint="eastAsia" w:ascii="宋体" w:hAnsi="宋体"/>
                <w:sz w:val="18"/>
                <w:szCs w:val="18"/>
              </w:rPr>
              <w:t>22.申报成功后可以作废，对实训内容进行修改，并支持再次申报，满足教学需求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 w:type="dxa"/>
          </w:tcPr>
          <w:p/>
          <w:p/>
          <w:p/>
          <w:p/>
          <w:p/>
          <w:p/>
          <w:p/>
          <w:p/>
          <w:p/>
          <w:p/>
          <w:p/>
          <w:p/>
          <w:p>
            <w:r>
              <w:rPr>
                <w:rFonts w:hint="eastAsia"/>
              </w:rPr>
              <w:t>3</w:t>
            </w:r>
          </w:p>
        </w:tc>
        <w:tc>
          <w:tcPr>
            <w:tcW w:w="1885" w:type="dxa"/>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查账征收企业所得税年度汇算清缴申报实训系统</w:t>
            </w:r>
          </w:p>
        </w:tc>
        <w:tc>
          <w:tcPr>
            <w:tcW w:w="7230" w:type="dxa"/>
          </w:tcPr>
          <w:p>
            <w:pPr>
              <w:pStyle w:val="22"/>
              <w:rPr>
                <w:rFonts w:hint="eastAsia" w:ascii="宋体" w:hAnsi="宋体" w:cs="宋体"/>
                <w:sz w:val="18"/>
                <w:szCs w:val="18"/>
              </w:rPr>
            </w:pPr>
            <w:r>
              <w:rPr>
                <w:rFonts w:hint="eastAsia" w:ascii="宋体" w:hAnsi="宋体"/>
                <w:sz w:val="18"/>
                <w:szCs w:val="18"/>
              </w:rPr>
              <w:t>1.符合查账征收企业所得税汇算清缴规范，申报过程严格按税务总局的最新标准执行，有企业端与税局端之间申报数据的交互并能提供反馈信息。</w:t>
            </w:r>
          </w:p>
          <w:p>
            <w:pPr>
              <w:pStyle w:val="22"/>
              <w:rPr>
                <w:rFonts w:hint="eastAsia" w:ascii="宋体" w:hAnsi="宋体" w:cs="宋体"/>
                <w:sz w:val="18"/>
                <w:szCs w:val="18"/>
              </w:rPr>
            </w:pPr>
            <w:r>
              <w:rPr>
                <w:rFonts w:hint="eastAsia" w:ascii="宋体" w:hAnsi="宋体" w:cs="宋体"/>
                <w:sz w:val="18"/>
                <w:szCs w:val="18"/>
              </w:rPr>
              <w:t>2.能够满足同时60人在线实训，能够模拟企业所得税年度汇算清缴网上申报，可以配套教案案例实训、评分、打印封面报告，满足教学需要</w:t>
            </w:r>
          </w:p>
          <w:p>
            <w:pPr>
              <w:pStyle w:val="22"/>
              <w:rPr>
                <w:rFonts w:hint="eastAsia" w:ascii="宋体" w:hAnsi="宋体"/>
                <w:sz w:val="18"/>
                <w:szCs w:val="18"/>
              </w:rPr>
            </w:pPr>
            <w:r>
              <w:rPr>
                <w:rFonts w:hint="eastAsia" w:ascii="宋体" w:hAnsi="宋体"/>
                <w:sz w:val="18"/>
                <w:szCs w:val="18"/>
              </w:rPr>
              <w:t>3.首页具有申报操作流程图和2017版企业所得税汇算清缴相关公告；可选择税款所属期，满足教学需要；</w:t>
            </w:r>
          </w:p>
          <w:p>
            <w:pPr>
              <w:pStyle w:val="22"/>
              <w:rPr>
                <w:rFonts w:hint="eastAsia" w:ascii="宋体" w:hAnsi="宋体"/>
                <w:sz w:val="18"/>
                <w:szCs w:val="18"/>
              </w:rPr>
            </w:pPr>
            <w:r>
              <w:rPr>
                <w:rFonts w:hint="eastAsia" w:ascii="宋体" w:hAnsi="宋体"/>
                <w:sz w:val="18"/>
                <w:szCs w:val="18"/>
              </w:rPr>
              <w:t>4.★系统申报符合以下6步申报流程和规定：（1）基础信息设置（2）简化报表（3）申报表填写。（4）税收遵从风险提示（5）申报表发送 （6）网上缴税</w:t>
            </w:r>
          </w:p>
          <w:p>
            <w:pPr>
              <w:pStyle w:val="22"/>
              <w:rPr>
                <w:rFonts w:hint="eastAsia" w:ascii="宋体" w:hAnsi="宋体"/>
                <w:sz w:val="18"/>
                <w:szCs w:val="18"/>
              </w:rPr>
            </w:pPr>
            <w:r>
              <w:rPr>
                <w:rFonts w:hint="eastAsia" w:ascii="宋体" w:hAnsi="宋体"/>
                <w:sz w:val="18"/>
                <w:szCs w:val="18"/>
              </w:rPr>
              <w:t>5.基础信息设置包含纳税人信息、法定比例、预缴及结转信息设置，纳税人信息设置需对汇总纳税企业类型、是否就地汇总纳税、注册资本、所属行业明细代码等基本信息及主要会计政策和估计进行设置，主要会计政策和估计设置应包含适用的会计准则或会计制度、记账本位币、特定企业类型等进行设置，企业股东及对外投资情况信息也要填写</w:t>
            </w:r>
          </w:p>
          <w:p>
            <w:pPr>
              <w:pStyle w:val="22"/>
              <w:rPr>
                <w:rFonts w:hint="eastAsia" w:ascii="宋体" w:hAnsi="宋体"/>
                <w:sz w:val="18"/>
                <w:szCs w:val="18"/>
              </w:rPr>
            </w:pPr>
            <w:r>
              <w:rPr>
                <w:rFonts w:hint="eastAsia" w:ascii="宋体" w:hAnsi="宋体"/>
                <w:sz w:val="18"/>
                <w:szCs w:val="18"/>
              </w:rPr>
              <w:t>6.法定比例即税收规定扣除率需包含职工福利费支出、按税收规定比例扣除的职工教育经费、工会经费支出、补充养老保险、补充医疗保险、广告费和业务宣传费、捐赠支出、业务招待费等项目的设置</w:t>
            </w:r>
          </w:p>
          <w:p>
            <w:pPr>
              <w:pStyle w:val="22"/>
              <w:rPr>
                <w:rFonts w:hint="eastAsia" w:ascii="宋体" w:hAnsi="宋体"/>
                <w:sz w:val="18"/>
                <w:szCs w:val="18"/>
              </w:rPr>
            </w:pPr>
            <w:r>
              <w:rPr>
                <w:rFonts w:hint="eastAsia" w:ascii="宋体" w:hAnsi="宋体"/>
                <w:sz w:val="18"/>
                <w:szCs w:val="18"/>
              </w:rPr>
              <w:t>7.预缴及结转信息设置包含本年累计实际已预缴的所得税额、以前年度多缴的所得税额在本年低减额、以前年度累计结转准予扣除的职工教育经费支出余额、以前年度应缴未缴在本年入库所得额、以前年度结转的可抵扣投资额余额、结转以前年度的尚未抵扣的股权投资余额等项目的设置</w:t>
            </w:r>
          </w:p>
          <w:p>
            <w:pPr>
              <w:pStyle w:val="22"/>
              <w:rPr>
                <w:rFonts w:hint="eastAsia" w:ascii="宋体" w:hAnsi="宋体"/>
                <w:sz w:val="18"/>
                <w:szCs w:val="18"/>
              </w:rPr>
            </w:pPr>
            <w:r>
              <w:rPr>
                <w:rFonts w:hint="eastAsia" w:ascii="宋体" w:hAnsi="宋体"/>
                <w:sz w:val="18"/>
                <w:szCs w:val="18"/>
              </w:rPr>
              <w:t>8.基础信息设置填写完整后方可进行简化选表，即在填写申报表前可对2017年新版37张报表进行选择填报或不填报，针对前面基础信息设置，系统自动选择企业类别默认必须填报的或不填报的报表，并以灰色显示</w:t>
            </w:r>
          </w:p>
          <w:p>
            <w:pPr>
              <w:pStyle w:val="22"/>
              <w:rPr>
                <w:rFonts w:hint="eastAsia" w:ascii="宋体" w:hAnsi="宋体"/>
                <w:sz w:val="18"/>
                <w:szCs w:val="18"/>
              </w:rPr>
            </w:pPr>
            <w:r>
              <w:rPr>
                <w:rFonts w:hint="eastAsia" w:ascii="宋体" w:hAnsi="宋体"/>
                <w:sz w:val="18"/>
                <w:szCs w:val="18"/>
              </w:rPr>
              <w:t>9.★37张报表按照收入成本、境外所得、纳税调整、优惠、弥补亏损、总分机构、年度纳税申报表主表七大类进行分类，报表之间实现钻取功能，可按表与表之间的关系自由钻取填写（即填写报表时有数据需从其他报表取的可直接跳转至其他表，填写后在返回本表），同时在报表右侧显示跟随式的最新的法律法规填表说明，每个分类的报表未填写数量实时显示，报表可放大、缩小，能打印，系统内自带计算器功能</w:t>
            </w:r>
          </w:p>
          <w:p>
            <w:pPr>
              <w:pStyle w:val="22"/>
              <w:rPr>
                <w:rFonts w:hint="eastAsia" w:ascii="宋体" w:hAnsi="宋体" w:cs="宋体"/>
                <w:sz w:val="18"/>
                <w:szCs w:val="18"/>
              </w:rPr>
            </w:pPr>
            <w:r>
              <w:rPr>
                <w:rFonts w:hint="eastAsia" w:ascii="宋体" w:hAnsi="宋体"/>
                <w:sz w:val="18"/>
                <w:szCs w:val="18"/>
              </w:rPr>
              <w:t>10.★ 税收遵从风险提示。系统可以对申报表填写的完整性、表内表间逻辑正确性、申报数据与财务报表数据逻辑检查，申报风险检查、附表资料提醒检查，并给出检查结果，能够清晰了解检查到的表单、项目，并获得相应的提示信息和风险等级，可直接修改有风险的申报表，各报表之间有1060个逻辑标准，自动计算、自动校验，并给出相关提示信息。</w:t>
            </w:r>
          </w:p>
          <w:p>
            <w:pPr>
              <w:pStyle w:val="22"/>
              <w:rPr>
                <w:rFonts w:hint="eastAsia" w:ascii="宋体" w:hAnsi="宋体" w:cs="宋体"/>
                <w:sz w:val="18"/>
                <w:szCs w:val="18"/>
              </w:rPr>
            </w:pPr>
            <w:r>
              <w:rPr>
                <w:rFonts w:hint="eastAsia" w:ascii="宋体" w:hAnsi="宋体"/>
                <w:sz w:val="18"/>
                <w:szCs w:val="18"/>
              </w:rPr>
              <w:t>11.★</w:t>
            </w:r>
            <w:r>
              <w:rPr>
                <w:rFonts w:hint="eastAsia" w:ascii="宋体" w:hAnsi="宋体" w:cs="宋体"/>
                <w:sz w:val="18"/>
                <w:szCs w:val="18"/>
              </w:rPr>
              <w:t>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pPr>
              <w:pStyle w:val="22"/>
              <w:rPr>
                <w:rFonts w:hint="eastAsia" w:ascii="宋体" w:hAnsi="宋体" w:cs="宋体"/>
                <w:sz w:val="18"/>
                <w:szCs w:val="18"/>
              </w:rPr>
            </w:pPr>
            <w:r>
              <w:rPr>
                <w:rFonts w:hint="eastAsia" w:ascii="宋体" w:hAnsi="宋体" w:cs="宋体"/>
                <w:sz w:val="18"/>
                <w:szCs w:val="18"/>
              </w:rPr>
              <w:t>12.申报成功后可通过申报种类、申报所属期对历史申报结果查询，可以看到申报种类、报表名称、申报日期、申报结果、申报类型、应纳税额、扣款时间。能看查看每次申报的每张详细报表，能够预览和打印相应报申报成功后可进行网上缴税，系统提示缴税单位信息，税额，缴税时间， 缴税成功后自动生成校验反馈信息。</w:t>
            </w:r>
          </w:p>
          <w:p>
            <w:pPr>
              <w:pStyle w:val="22"/>
              <w:rPr>
                <w:rFonts w:hint="eastAsia" w:ascii="宋体" w:hAnsi="宋体"/>
                <w:sz w:val="18"/>
                <w:szCs w:val="18"/>
              </w:rPr>
            </w:pPr>
            <w:r>
              <w:rPr>
                <w:rFonts w:hint="eastAsia" w:ascii="宋体" w:hAnsi="宋体" w:cs="宋体"/>
                <w:sz w:val="18"/>
                <w:szCs w:val="18"/>
              </w:rPr>
              <w:t>13.有介质传送功能，能够进行基本信息导入、核定信息导入、反馈文件导入、申报文件导出等操作，</w:t>
            </w:r>
            <w:r>
              <w:rPr>
                <w:rFonts w:hint="eastAsia" w:ascii="宋体" w:hAnsi="宋体"/>
                <w:sz w:val="18"/>
                <w:szCs w:val="18"/>
              </w:rPr>
              <w:t>基本信息导入功能可将XML数据文件直接导入，完成实训企业的基本信息、核定信息、反馈文件的基础信息设置.</w:t>
            </w:r>
          </w:p>
          <w:p>
            <w:pPr>
              <w:pStyle w:val="22"/>
              <w:rPr>
                <w:rFonts w:hint="eastAsia" w:ascii="宋体" w:hAnsi="宋体"/>
                <w:sz w:val="18"/>
                <w:szCs w:val="18"/>
              </w:rPr>
            </w:pPr>
            <w:r>
              <w:rPr>
                <w:rFonts w:hint="eastAsia" w:ascii="宋体" w:hAnsi="宋体"/>
                <w:sz w:val="18"/>
                <w:szCs w:val="18"/>
              </w:rPr>
              <w:t>14.能够实现总分机构、非汇总机构的企业所得税网上申报，各行业各规模、适用不同会计准则或会计制度的企业所得税申报。</w:t>
            </w:r>
          </w:p>
          <w:p>
            <w:pPr>
              <w:pStyle w:val="22"/>
              <w:rPr>
                <w:rFonts w:hint="eastAsia" w:ascii="宋体" w:hAnsi="宋体"/>
                <w:sz w:val="18"/>
                <w:szCs w:val="18"/>
              </w:rPr>
            </w:pPr>
            <w:r>
              <w:rPr>
                <w:rFonts w:hint="eastAsia" w:ascii="宋体" w:hAnsi="宋体"/>
                <w:sz w:val="18"/>
                <w:szCs w:val="18"/>
              </w:rPr>
              <w:t>15.根据不同的实训企业背景及业务内容信息，完成当地税务局规定张数的年度申报表的筛选简化，减少汇算清缴报表的填写干扰。</w:t>
            </w:r>
          </w:p>
          <w:p>
            <w:pPr>
              <w:pStyle w:val="22"/>
              <w:rPr>
                <w:rFonts w:hint="eastAsia" w:ascii="宋体" w:hAnsi="宋体"/>
                <w:sz w:val="18"/>
                <w:szCs w:val="18"/>
              </w:rPr>
            </w:pPr>
            <w:r>
              <w:rPr>
                <w:rFonts w:hint="eastAsia" w:ascii="宋体" w:hAnsi="宋体"/>
                <w:sz w:val="18"/>
                <w:szCs w:val="18"/>
              </w:rPr>
              <w:t>16.★对简化筛选后需填写的申报表，按业务性质进行自动归类。实现钻取功能，可在原始表格未保存情况下打开另外一张报表，同时保证原始报表数据不丢失，又能对新打开报表数据进行更新保存。表间数据可进行自由钻取填写，不强制填表顺序。</w:t>
            </w:r>
          </w:p>
          <w:p>
            <w:pPr>
              <w:pStyle w:val="22"/>
              <w:rPr>
                <w:rFonts w:hint="eastAsia" w:ascii="宋体" w:hAnsi="宋体"/>
                <w:sz w:val="18"/>
                <w:szCs w:val="18"/>
              </w:rPr>
            </w:pPr>
            <w:r>
              <w:rPr>
                <w:rFonts w:hint="eastAsia" w:ascii="宋体" w:hAnsi="宋体" w:cs="宋体"/>
                <w:sz w:val="18"/>
                <w:szCs w:val="18"/>
              </w:rPr>
              <w:t>17.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pPr>
              <w:pStyle w:val="22"/>
              <w:rPr>
                <w:rFonts w:hint="eastAsia" w:ascii="宋体" w:hAnsi="宋体"/>
                <w:sz w:val="18"/>
                <w:szCs w:val="18"/>
              </w:rPr>
            </w:pPr>
            <w:r>
              <w:rPr>
                <w:rFonts w:hint="eastAsia" w:ascii="宋体" w:hAnsi="宋体"/>
                <w:sz w:val="18"/>
                <w:szCs w:val="18"/>
              </w:rPr>
              <w:t>18.申报成功可以接收模拟税局端的反馈信息，且申报成功后可以作废。</w:t>
            </w:r>
          </w:p>
          <w:p>
            <w:pPr>
              <w:pStyle w:val="22"/>
              <w:rPr>
                <w:rFonts w:ascii="宋体" w:hAnsi="宋体"/>
                <w:sz w:val="18"/>
                <w:szCs w:val="18"/>
              </w:rPr>
            </w:pPr>
            <w:r>
              <w:rPr>
                <w:rFonts w:hint="eastAsia" w:ascii="宋体" w:hAnsi="宋体"/>
                <w:sz w:val="18"/>
                <w:szCs w:val="18"/>
              </w:rPr>
              <w:t>19.须有独立的案例管理系统，系统中自带查账征收企业所得税年度汇算清缴实训案例不少于2套，可以查看案例的标准答案，也可以发布案例标准答案，学生操作完成可以自动评分。</w:t>
            </w:r>
          </w:p>
        </w:tc>
      </w:tr>
    </w:tbl>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1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29"/>
    <w:rsid w:val="0001005B"/>
    <w:rsid w:val="00077D3D"/>
    <w:rsid w:val="000E5ED4"/>
    <w:rsid w:val="000F58BC"/>
    <w:rsid w:val="00100CBB"/>
    <w:rsid w:val="001101CE"/>
    <w:rsid w:val="0011021E"/>
    <w:rsid w:val="001800C4"/>
    <w:rsid w:val="00195ABF"/>
    <w:rsid w:val="001C0758"/>
    <w:rsid w:val="001D72B8"/>
    <w:rsid w:val="0022499E"/>
    <w:rsid w:val="002403B5"/>
    <w:rsid w:val="002538EB"/>
    <w:rsid w:val="00260A25"/>
    <w:rsid w:val="002F2105"/>
    <w:rsid w:val="00372416"/>
    <w:rsid w:val="00380324"/>
    <w:rsid w:val="003A40E5"/>
    <w:rsid w:val="003B3310"/>
    <w:rsid w:val="003B4477"/>
    <w:rsid w:val="003C76AF"/>
    <w:rsid w:val="00412EB6"/>
    <w:rsid w:val="004537C2"/>
    <w:rsid w:val="00470BF4"/>
    <w:rsid w:val="00475464"/>
    <w:rsid w:val="004C57DF"/>
    <w:rsid w:val="004E1556"/>
    <w:rsid w:val="004E3B38"/>
    <w:rsid w:val="00506470"/>
    <w:rsid w:val="005427C4"/>
    <w:rsid w:val="00542FE6"/>
    <w:rsid w:val="00543938"/>
    <w:rsid w:val="005451E4"/>
    <w:rsid w:val="00565909"/>
    <w:rsid w:val="005879B7"/>
    <w:rsid w:val="005A17B3"/>
    <w:rsid w:val="005A742A"/>
    <w:rsid w:val="006602CB"/>
    <w:rsid w:val="0067217A"/>
    <w:rsid w:val="006721CB"/>
    <w:rsid w:val="006738A8"/>
    <w:rsid w:val="00686974"/>
    <w:rsid w:val="00691AB3"/>
    <w:rsid w:val="006B3F17"/>
    <w:rsid w:val="006E5F04"/>
    <w:rsid w:val="00720B48"/>
    <w:rsid w:val="00744CA5"/>
    <w:rsid w:val="00772EBF"/>
    <w:rsid w:val="00785C81"/>
    <w:rsid w:val="007D1296"/>
    <w:rsid w:val="008452FA"/>
    <w:rsid w:val="00866912"/>
    <w:rsid w:val="00872856"/>
    <w:rsid w:val="008B0F27"/>
    <w:rsid w:val="008D60FC"/>
    <w:rsid w:val="00947D23"/>
    <w:rsid w:val="00957756"/>
    <w:rsid w:val="009E6F31"/>
    <w:rsid w:val="009F18E0"/>
    <w:rsid w:val="00A15EC9"/>
    <w:rsid w:val="00A84F3D"/>
    <w:rsid w:val="00A8627D"/>
    <w:rsid w:val="00A93527"/>
    <w:rsid w:val="00AC6A25"/>
    <w:rsid w:val="00AE6DA6"/>
    <w:rsid w:val="00B974F2"/>
    <w:rsid w:val="00BD753B"/>
    <w:rsid w:val="00BF6D5D"/>
    <w:rsid w:val="00C04761"/>
    <w:rsid w:val="00C3173E"/>
    <w:rsid w:val="00C575CC"/>
    <w:rsid w:val="00C620A1"/>
    <w:rsid w:val="00C62FE6"/>
    <w:rsid w:val="00C8455C"/>
    <w:rsid w:val="00CC0A05"/>
    <w:rsid w:val="00CE3705"/>
    <w:rsid w:val="00CE639A"/>
    <w:rsid w:val="00D00BCC"/>
    <w:rsid w:val="00D07C37"/>
    <w:rsid w:val="00D07E3C"/>
    <w:rsid w:val="00D338BD"/>
    <w:rsid w:val="00D417F7"/>
    <w:rsid w:val="00D47A5A"/>
    <w:rsid w:val="00D778FF"/>
    <w:rsid w:val="00D8494C"/>
    <w:rsid w:val="00D96CED"/>
    <w:rsid w:val="00DA1196"/>
    <w:rsid w:val="00DA378B"/>
    <w:rsid w:val="00DB4310"/>
    <w:rsid w:val="00DC0131"/>
    <w:rsid w:val="00DE0E82"/>
    <w:rsid w:val="00DF248D"/>
    <w:rsid w:val="00E56E01"/>
    <w:rsid w:val="00E77DE5"/>
    <w:rsid w:val="00EC5A52"/>
    <w:rsid w:val="00ED7490"/>
    <w:rsid w:val="00F40A29"/>
    <w:rsid w:val="00F77176"/>
    <w:rsid w:val="00FD2F39"/>
    <w:rsid w:val="087C44EE"/>
    <w:rsid w:val="1A6F5B7E"/>
    <w:rsid w:val="1E443F45"/>
    <w:rsid w:val="2A9C0D87"/>
    <w:rsid w:val="31B00338"/>
    <w:rsid w:val="33FA43FE"/>
    <w:rsid w:val="382B67B7"/>
    <w:rsid w:val="392E507B"/>
    <w:rsid w:val="4EB01E09"/>
    <w:rsid w:val="4F0E12E0"/>
    <w:rsid w:val="577E78F6"/>
    <w:rsid w:val="59866D87"/>
    <w:rsid w:val="70E3470C"/>
    <w:rsid w:val="7491657D"/>
    <w:rsid w:val="7D11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jc w:val="center"/>
      <w:outlineLvl w:val="0"/>
    </w:pPr>
    <w:rPr>
      <w:rFonts w:ascii="Calibri" w:hAnsi="Calibri" w:eastAsia="微软雅黑" w:cs="Times New Roman"/>
      <w:bCs/>
      <w:kern w:val="44"/>
      <w:sz w:val="36"/>
      <w:szCs w:val="44"/>
    </w:rPr>
  </w:style>
  <w:style w:type="paragraph" w:styleId="3">
    <w:name w:val="heading 2"/>
    <w:basedOn w:val="1"/>
    <w:next w:val="1"/>
    <w:link w:val="16"/>
    <w:qFormat/>
    <w:uiPriority w:val="9"/>
    <w:pPr>
      <w:keepNext/>
      <w:keepLines/>
      <w:spacing w:before="240" w:after="240" w:line="415" w:lineRule="auto"/>
      <w:jc w:val="left"/>
      <w:outlineLvl w:val="1"/>
    </w:pPr>
    <w:rPr>
      <w:rFonts w:ascii="Cambria" w:hAnsi="Cambria" w:eastAsia="微软雅黑" w:cs="Times New Roman"/>
      <w:bCs/>
      <w:kern w:val="0"/>
      <w:sz w:val="24"/>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无间隔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1">
    <w:name w:val="列出段落 Char"/>
    <w:link w:val="12"/>
    <w:qFormat/>
    <w:locked/>
    <w:uiPriority w:val="0"/>
  </w:style>
  <w:style w:type="paragraph" w:customStyle="1" w:styleId="12">
    <w:name w:val="列出段落1"/>
    <w:basedOn w:val="1"/>
    <w:link w:val="11"/>
    <w:qFormat/>
    <w:uiPriority w:val="0"/>
    <w:pPr>
      <w:ind w:firstLine="420" w:firstLineChars="200"/>
    </w:pPr>
  </w:style>
  <w:style w:type="character" w:customStyle="1" w:styleId="13">
    <w:name w:val="页眉 Char"/>
    <w:basedOn w:val="7"/>
    <w:link w:val="6"/>
    <w:qFormat/>
    <w:uiPriority w:val="99"/>
    <w:rPr>
      <w:sz w:val="18"/>
      <w:szCs w:val="18"/>
    </w:rPr>
  </w:style>
  <w:style w:type="character" w:customStyle="1" w:styleId="14">
    <w:name w:val="页脚 Char"/>
    <w:basedOn w:val="7"/>
    <w:link w:val="5"/>
    <w:qFormat/>
    <w:uiPriority w:val="99"/>
    <w:rPr>
      <w:sz w:val="18"/>
      <w:szCs w:val="18"/>
    </w:rPr>
  </w:style>
  <w:style w:type="character" w:customStyle="1" w:styleId="15">
    <w:name w:val="标题 1 Char"/>
    <w:basedOn w:val="7"/>
    <w:link w:val="2"/>
    <w:qFormat/>
    <w:uiPriority w:val="9"/>
    <w:rPr>
      <w:rFonts w:ascii="Calibri" w:hAnsi="Calibri" w:eastAsia="微软雅黑" w:cs="Times New Roman"/>
      <w:bCs/>
      <w:kern w:val="44"/>
      <w:sz w:val="36"/>
      <w:szCs w:val="44"/>
    </w:rPr>
  </w:style>
  <w:style w:type="character" w:customStyle="1" w:styleId="16">
    <w:name w:val="标题 2 Char"/>
    <w:basedOn w:val="7"/>
    <w:link w:val="3"/>
    <w:qFormat/>
    <w:uiPriority w:val="9"/>
    <w:rPr>
      <w:rFonts w:ascii="Cambria" w:hAnsi="Cambria" w:eastAsia="微软雅黑" w:cs="Times New Roman"/>
      <w:bCs/>
      <w:kern w:val="0"/>
      <w:sz w:val="24"/>
      <w:szCs w:val="32"/>
    </w:rPr>
  </w:style>
  <w:style w:type="character" w:customStyle="1" w:styleId="17">
    <w:name w:val="批注框文本 Char"/>
    <w:basedOn w:val="7"/>
    <w:link w:val="4"/>
    <w:semiHidden/>
    <w:qFormat/>
    <w:uiPriority w:val="99"/>
    <w:rPr>
      <w:sz w:val="18"/>
      <w:szCs w:val="18"/>
    </w:rPr>
  </w:style>
  <w:style w:type="paragraph" w:customStyle="1" w:styleId="18">
    <w:name w:val="_Style 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_Style 2"/>
    <w:basedOn w:val="1"/>
    <w:qFormat/>
    <w:uiPriority w:val="0"/>
    <w:pPr>
      <w:ind w:firstLine="420" w:firstLineChars="200"/>
    </w:pPr>
  </w:style>
  <w:style w:type="paragraph" w:customStyle="1" w:styleId="20">
    <w:name w:val="_Style 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无间隔 Char"/>
    <w:link w:val="22"/>
    <w:uiPriority w:val="1"/>
    <w:rPr>
      <w:kern w:val="2"/>
      <w:sz w:val="21"/>
      <w:szCs w:val="22"/>
    </w:rPr>
  </w:style>
  <w:style w:type="paragraph" w:styleId="22">
    <w:name w:val="No Spacing"/>
    <w:link w:val="21"/>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23">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B307F-2474-43C0-BE70-026F05E67243}">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1189</Words>
  <Characters>6782</Characters>
  <Lines>56</Lines>
  <Paragraphs>15</Paragraphs>
  <TotalTime>224</TotalTime>
  <ScaleCrop>false</ScaleCrop>
  <LinksUpToDate>false</LinksUpToDate>
  <CharactersWithSpaces>7956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2017-03-13T06:47:00Z</dcterms:created>
  <dc:creator>shb</dc:creator>
  <cp:lastModifiedBy>孙龙龙</cp:lastModifiedBy>
  <dcterms:modified xsi:type="dcterms:W3CDTF">2021-04-06T09:53:41Z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